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jc w:val="center"/>
        <w:rPr>
          <w:rFonts w:hint="eastAsia" w:ascii="微软雅黑" w:hAnsi="微软雅黑" w:eastAsia="微软雅黑" w:cs="微软雅黑"/>
          <w:b/>
          <w:bCs/>
          <w:sz w:val="32"/>
          <w:szCs w:val="32"/>
        </w:rPr>
      </w:pPr>
      <w:r>
        <w:rPr>
          <w:rFonts w:hint="eastAsia" w:ascii="微软雅黑" w:hAnsi="微软雅黑" w:eastAsia="微软雅黑" w:cs="微软雅黑"/>
          <w:b/>
          <w:bCs/>
          <w:sz w:val="32"/>
          <w:szCs w:val="32"/>
        </w:rPr>
        <w:t>四川明炬律师事务所——西南最具品牌影响力律师事务所</w:t>
      </w:r>
    </w:p>
    <w:p>
      <w:pPr>
        <w:spacing w:line="600" w:lineRule="auto"/>
        <w:jc w:val="center"/>
        <w:rPr>
          <w:rFonts w:hint="eastAsia" w:ascii="微软雅黑" w:hAnsi="微软雅黑" w:eastAsia="微软雅黑" w:cs="微软雅黑"/>
          <w:b/>
          <w:bCs/>
          <w:sz w:val="32"/>
          <w:szCs w:val="32"/>
        </w:rPr>
      </w:pPr>
    </w:p>
    <w:p>
      <w:pPr>
        <w:spacing w:line="600" w:lineRule="auto"/>
        <w:rPr>
          <w:rFonts w:hint="eastAsia" w:ascii="黑体" w:eastAsia="黑体"/>
          <w:sz w:val="40"/>
          <w:szCs w:val="40"/>
        </w:rPr>
      </w:pPr>
      <w:r>
        <w:rPr>
          <w:rFonts w:hint="eastAsia" w:ascii="黑体" w:eastAsia="黑体"/>
          <w:color w:val="993300"/>
          <w:sz w:val="32"/>
          <w:szCs w:val="32"/>
        </w:rPr>
        <w:t>■</w:t>
      </w:r>
      <w:r>
        <w:rPr>
          <w:rFonts w:hint="eastAsia" w:ascii="黑体" w:eastAsia="黑体"/>
          <w:sz w:val="32"/>
          <w:szCs w:val="32"/>
        </w:rPr>
        <w:t>明炬简介</w:t>
      </w:r>
    </w:p>
    <w:p>
      <w:pPr>
        <w:spacing w:line="600" w:lineRule="auto"/>
        <w:rPr>
          <w:rFonts w:hint="eastAsia" w:ascii="黑体" w:eastAsia="黑体"/>
          <w:sz w:val="32"/>
          <w:szCs w:val="32"/>
        </w:rPr>
      </w:pPr>
      <w:r>
        <w:rPr>
          <w:rFonts w:hint="eastAsia"/>
          <w:sz w:val="21"/>
          <w:szCs w:val="22"/>
        </w:rPr>
        <w:pict>
          <v:line id="_x0000_s1029" o:spid="_x0000_s1029" o:spt="20" style="position:absolute;left:0pt;flip:y;margin-left:0pt;margin-top:0pt;height:0pt;width:90pt;z-index:251810816;mso-width-relative:page;mso-height-relative:page;" filled="f" stroked="t" coordsize="21600,21600">
            <v:path arrowok="t"/>
            <v:fill on="f" focussize="0,0"/>
            <v:stroke weight="1pt" color="#993300"/>
            <v:imagedata o:title=""/>
            <o:lock v:ext="edit"/>
          </v:line>
        </w:pict>
      </w:r>
    </w:p>
    <w:p>
      <w:pPr>
        <w:spacing w:line="600" w:lineRule="auto"/>
        <w:rPr>
          <w:rFonts w:hint="eastAsia" w:ascii="黑体" w:eastAsia="黑体"/>
          <w:color w:val="993300"/>
          <w:sz w:val="32"/>
          <w:szCs w:val="32"/>
        </w:rPr>
      </w:pPr>
      <w:r>
        <w:rPr>
          <w:rFonts w:hint="eastAsia" w:ascii="黑体" w:eastAsia="黑体"/>
          <w:color w:val="993300"/>
          <w:sz w:val="32"/>
          <w:szCs w:val="32"/>
        </w:rPr>
        <w:t>明炬·词源</w:t>
      </w:r>
    </w:p>
    <w:p>
      <w:pPr>
        <w:spacing w:line="600" w:lineRule="auto"/>
        <w:rPr>
          <w:rFonts w:hint="eastAsia" w:ascii="仿宋_GB2312" w:eastAsia="仿宋_GB2312"/>
          <w:sz w:val="32"/>
          <w:szCs w:val="32"/>
        </w:rPr>
      </w:pPr>
      <w:r>
        <w:rPr>
          <w:rFonts w:hint="eastAsia" w:ascii="黑体" w:eastAsia="黑体"/>
          <w:color w:val="993300"/>
          <w:sz w:val="32"/>
          <w:szCs w:val="32"/>
        </w:rPr>
        <w:t>明：</w:t>
      </w:r>
      <w:r>
        <w:rPr>
          <w:rFonts w:hint="eastAsia" w:ascii="黑体" w:eastAsia="黑体"/>
          <w:sz w:val="28"/>
          <w:szCs w:val="28"/>
        </w:rPr>
        <w:t>日月、天地、明白、睿智。出自荀子《天论》“在天者莫明于月，在地者莫明于水火，在物者莫明于珠玉，在人者莫明于礼义。”</w:t>
      </w:r>
    </w:p>
    <w:p>
      <w:pPr>
        <w:spacing w:line="600" w:lineRule="auto"/>
        <w:rPr>
          <w:rFonts w:hint="eastAsia" w:ascii="仿宋_GB2312" w:eastAsia="仿宋_GB2312"/>
          <w:sz w:val="32"/>
          <w:szCs w:val="32"/>
        </w:rPr>
      </w:pPr>
      <w:r>
        <w:rPr>
          <w:rFonts w:hint="eastAsia" w:ascii="黑体" w:eastAsia="黑体"/>
          <w:color w:val="993300"/>
          <w:sz w:val="32"/>
          <w:szCs w:val="32"/>
        </w:rPr>
        <w:t>炬：</w:t>
      </w:r>
      <w:r>
        <w:rPr>
          <w:rFonts w:hint="eastAsia" w:ascii="黑体" w:eastAsia="黑体"/>
          <w:sz w:val="28"/>
          <w:szCs w:val="28"/>
        </w:rPr>
        <w:t>火把，引领者。出自《晋书·苻坚载记下》“系炬于树枝，光照十数里中”。</w:t>
      </w:r>
    </w:p>
    <w:p>
      <w:pPr>
        <w:spacing w:line="600" w:lineRule="auto"/>
        <w:rPr>
          <w:rFonts w:hint="eastAsia" w:ascii="黑体" w:eastAsia="黑体"/>
          <w:sz w:val="28"/>
          <w:szCs w:val="28"/>
        </w:rPr>
      </w:pPr>
      <w:r>
        <w:rPr>
          <w:rFonts w:hint="eastAsia" w:ascii="黑体" w:eastAsia="黑体"/>
          <w:color w:val="993300"/>
          <w:sz w:val="32"/>
          <w:szCs w:val="32"/>
        </w:rPr>
        <w:t>明炬：</w:t>
      </w:r>
      <w:r>
        <w:rPr>
          <w:rFonts w:hint="eastAsia" w:ascii="黑体" w:eastAsia="黑体"/>
          <w:sz w:val="28"/>
          <w:szCs w:val="28"/>
        </w:rPr>
        <w:t>一群法律人，明白睿智，擎举火炬，以法护道，致以公鼎，引领发展，成就梦想。</w:t>
      </w:r>
    </w:p>
    <w:p>
      <w:pPr>
        <w:spacing w:line="600" w:lineRule="auto"/>
        <w:rPr>
          <w:rFonts w:hint="eastAsia" w:ascii="黑体" w:eastAsia="黑体"/>
          <w:sz w:val="28"/>
          <w:szCs w:val="28"/>
        </w:rPr>
      </w:pPr>
    </w:p>
    <w:p>
      <w:pPr>
        <w:spacing w:line="600" w:lineRule="auto"/>
        <w:rPr>
          <w:rFonts w:hint="eastAsia" w:ascii="黑体" w:eastAsia="黑体"/>
          <w:sz w:val="40"/>
          <w:szCs w:val="40"/>
        </w:rPr>
      </w:pPr>
      <w:r>
        <w:rPr>
          <w:rFonts w:hint="eastAsia" w:ascii="黑体" w:eastAsia="黑体"/>
          <w:color w:val="993300"/>
          <w:sz w:val="32"/>
          <w:szCs w:val="32"/>
        </w:rPr>
        <w:t>■</w:t>
      </w:r>
      <w:r>
        <w:rPr>
          <w:rFonts w:hint="eastAsia" w:ascii="黑体" w:eastAsia="黑体"/>
          <w:sz w:val="32"/>
          <w:szCs w:val="32"/>
        </w:rPr>
        <w:t>明炬赋</w:t>
      </w:r>
    </w:p>
    <w:p>
      <w:pPr>
        <w:spacing w:line="600" w:lineRule="auto"/>
        <w:rPr>
          <w:rFonts w:hint="eastAsia"/>
          <w:sz w:val="21"/>
          <w:szCs w:val="22"/>
        </w:rPr>
      </w:pPr>
      <w:r>
        <w:rPr>
          <w:rFonts w:hint="eastAsia"/>
          <w:sz w:val="21"/>
          <w:szCs w:val="22"/>
        </w:rPr>
        <w:pict>
          <v:line id="_x0000_s1028" o:spid="_x0000_s1028" o:spt="20" style="position:absolute;left:0pt;flip:y;margin-left:0pt;margin-top:0pt;height:0pt;width:90pt;z-index:251734016;mso-width-relative:page;mso-height-relative:page;" filled="f" stroked="t" coordsize="21600,21600">
            <v:path arrowok="t"/>
            <v:fill on="f" focussize="0,0"/>
            <v:stroke weight="1pt" color="#993300"/>
            <v:imagedata o:title=""/>
            <o:lock v:ext="edit"/>
          </v:line>
        </w:pict>
      </w:r>
    </w:p>
    <w:p>
      <w:pPr>
        <w:spacing w:line="600" w:lineRule="auto"/>
        <w:ind w:firstLine="560" w:firstLineChars="200"/>
        <w:jc w:val="center"/>
        <w:rPr>
          <w:rFonts w:hint="eastAsia" w:ascii="黑体" w:eastAsia="黑体"/>
          <w:color w:val="993300"/>
          <w:sz w:val="28"/>
          <w:szCs w:val="28"/>
        </w:rPr>
      </w:pPr>
      <w:r>
        <w:rPr>
          <w:rFonts w:hint="eastAsia" w:ascii="黑体" w:eastAsia="黑体"/>
          <w:color w:val="993300"/>
          <w:sz w:val="28"/>
          <w:szCs w:val="28"/>
        </w:rPr>
        <w:t>序</w:t>
      </w:r>
    </w:p>
    <w:p>
      <w:pPr>
        <w:spacing w:line="600" w:lineRule="auto"/>
        <w:rPr>
          <w:rFonts w:hint="eastAsia" w:ascii="黑体" w:eastAsia="黑体"/>
          <w:sz w:val="28"/>
          <w:szCs w:val="28"/>
        </w:rPr>
      </w:pPr>
      <w:r>
        <w:rPr>
          <w:rFonts w:hint="eastAsia" w:ascii="黑体" w:eastAsia="黑体"/>
          <w:sz w:val="28"/>
          <w:szCs w:val="28"/>
        </w:rPr>
        <w:t>天下之事，多闻贤德者致世；国府之田，全凭公心者垦之。夫谋天下之梯者，为人辅就上向之路也。当今之时，因其舍而得，平其心为智。凡今立基创始业，志于搏地气之红利，立本土之杆头。乃取阴阳之数，参天地之理；求千秋之和，并中西之壁。谋人权之平等，祈法制之独立，善秩序之大美。此志，唯辨三教之肌理，解世俗之玄机者，可游刃于情法之间，扶危于蹶失之际也！今有翘楚大匠，担纲立论，明义开宗。旨在坐川固土，蓄势西南，放眼环球，独秀乾坤。浓情胜烈酒，古城高会；守信敌狂杯，醉心代伐。苍山牧云感皎皎之士抱团取火，行洞明透亮之事，力吟成骈，赋曰：</w:t>
      </w:r>
    </w:p>
    <w:p>
      <w:pPr>
        <w:spacing w:line="600" w:lineRule="auto"/>
        <w:jc w:val="center"/>
        <w:rPr>
          <w:rFonts w:hint="eastAsia" w:ascii="黑体" w:eastAsia="黑体"/>
          <w:sz w:val="28"/>
          <w:szCs w:val="28"/>
        </w:rPr>
      </w:pPr>
      <w:r>
        <w:rPr>
          <w:rFonts w:hint="eastAsia" w:ascii="黑体" w:eastAsia="黑体"/>
          <w:sz w:val="28"/>
          <w:szCs w:val="28"/>
        </w:rPr>
        <w:t>天欲将雨，杖伞而行；苍茫四顾，擎炬以明。</w:t>
      </w:r>
    </w:p>
    <w:p>
      <w:pPr>
        <w:spacing w:line="600" w:lineRule="auto"/>
        <w:jc w:val="center"/>
        <w:rPr>
          <w:rFonts w:hint="eastAsia" w:ascii="黑体" w:eastAsia="黑体"/>
          <w:sz w:val="28"/>
          <w:szCs w:val="28"/>
        </w:rPr>
      </w:pPr>
      <w:r>
        <w:rPr>
          <w:rFonts w:hint="eastAsia" w:ascii="黑体" w:eastAsia="黑体"/>
          <w:sz w:val="28"/>
          <w:szCs w:val="28"/>
        </w:rPr>
        <w:t>立庙开宗，建纲立领；务实求圆，金翅展锦。</w:t>
      </w:r>
    </w:p>
    <w:p>
      <w:pPr>
        <w:spacing w:line="600" w:lineRule="auto"/>
        <w:jc w:val="center"/>
        <w:rPr>
          <w:rFonts w:hint="eastAsia" w:ascii="黑体" w:eastAsia="黑体"/>
          <w:sz w:val="28"/>
          <w:szCs w:val="28"/>
        </w:rPr>
      </w:pPr>
      <w:r>
        <w:rPr>
          <w:rFonts w:hint="eastAsia" w:ascii="黑体" w:eastAsia="黑体"/>
          <w:sz w:val="28"/>
          <w:szCs w:val="28"/>
        </w:rPr>
        <w:t>匡扶正气，为公呼鸣；法佑社稷，削山以平。</w:t>
      </w:r>
    </w:p>
    <w:p>
      <w:pPr>
        <w:spacing w:line="600" w:lineRule="auto"/>
        <w:jc w:val="center"/>
        <w:rPr>
          <w:rFonts w:hint="eastAsia" w:ascii="黑体" w:eastAsia="黑体"/>
          <w:sz w:val="28"/>
          <w:szCs w:val="28"/>
        </w:rPr>
      </w:pPr>
      <w:r>
        <w:rPr>
          <w:rFonts w:hint="eastAsia" w:ascii="黑体" w:eastAsia="黑体"/>
          <w:sz w:val="28"/>
          <w:szCs w:val="28"/>
        </w:rPr>
        <w:t>雷击黑山，世风以兴；铸鼎刑典，公器维新。</w:t>
      </w:r>
    </w:p>
    <w:p>
      <w:pPr>
        <w:spacing w:line="600" w:lineRule="auto"/>
        <w:jc w:val="center"/>
        <w:rPr>
          <w:rFonts w:hint="eastAsia" w:ascii="黑体" w:eastAsia="黑体"/>
          <w:sz w:val="28"/>
          <w:szCs w:val="28"/>
        </w:rPr>
      </w:pPr>
      <w:r>
        <w:rPr>
          <w:rFonts w:hint="eastAsia" w:ascii="黑体" w:eastAsia="黑体"/>
          <w:sz w:val="28"/>
          <w:szCs w:val="28"/>
        </w:rPr>
        <w:t>智售三公，才吞九卿；筑巢引凤，淘海藏鲸。</w:t>
      </w:r>
    </w:p>
    <w:p>
      <w:pPr>
        <w:spacing w:line="600" w:lineRule="auto"/>
        <w:jc w:val="center"/>
        <w:rPr>
          <w:rFonts w:hint="eastAsia" w:ascii="黑体" w:eastAsia="黑体"/>
          <w:sz w:val="28"/>
          <w:szCs w:val="28"/>
        </w:rPr>
      </w:pPr>
      <w:r>
        <w:rPr>
          <w:rFonts w:hint="eastAsia" w:ascii="黑体" w:eastAsia="黑体"/>
          <w:sz w:val="28"/>
          <w:szCs w:val="28"/>
        </w:rPr>
        <w:t>拧神聚力，甘苦用命；淬石举火，膂力同心。</w:t>
      </w:r>
    </w:p>
    <w:p>
      <w:pPr>
        <w:spacing w:line="600" w:lineRule="auto"/>
        <w:jc w:val="center"/>
        <w:rPr>
          <w:rFonts w:hint="eastAsia" w:ascii="黑体" w:eastAsia="黑体"/>
          <w:sz w:val="28"/>
          <w:szCs w:val="28"/>
        </w:rPr>
      </w:pPr>
      <w:r>
        <w:rPr>
          <w:rFonts w:hint="eastAsia" w:ascii="黑体" w:eastAsia="黑体"/>
          <w:sz w:val="28"/>
          <w:szCs w:val="28"/>
        </w:rPr>
        <w:t>方舟犁海，落浆万钧；峻法迢递，竞帆迸进。</w:t>
      </w:r>
    </w:p>
    <w:p>
      <w:pPr>
        <w:spacing w:line="600" w:lineRule="auto"/>
        <w:jc w:val="center"/>
        <w:rPr>
          <w:rFonts w:hint="eastAsia" w:ascii="黑体" w:eastAsia="黑体"/>
          <w:sz w:val="28"/>
          <w:szCs w:val="28"/>
        </w:rPr>
      </w:pPr>
      <w:r>
        <w:rPr>
          <w:rFonts w:hint="eastAsia" w:ascii="黑体" w:eastAsia="黑体"/>
          <w:sz w:val="28"/>
          <w:szCs w:val="28"/>
        </w:rPr>
        <w:t>凤鸣蜀山，引项华庭；志接前贤；功续古今。</w:t>
      </w:r>
    </w:p>
    <w:p>
      <w:pPr>
        <w:spacing w:line="600" w:lineRule="auto"/>
        <w:jc w:val="center"/>
        <w:rPr>
          <w:rFonts w:hint="eastAsia" w:ascii="黑体" w:eastAsia="黑体"/>
          <w:sz w:val="28"/>
          <w:szCs w:val="28"/>
        </w:rPr>
      </w:pPr>
      <w:r>
        <w:rPr>
          <w:rFonts w:hint="eastAsia" w:ascii="黑体" w:eastAsia="黑体"/>
          <w:sz w:val="28"/>
          <w:szCs w:val="28"/>
        </w:rPr>
        <w:t>立矩为绳，似德亲临；敬法如天，寰宇承平。</w:t>
      </w:r>
    </w:p>
    <w:p>
      <w:pPr>
        <w:spacing w:line="600" w:lineRule="auto"/>
        <w:jc w:val="center"/>
        <w:rPr>
          <w:rFonts w:hint="eastAsia" w:ascii="黑体" w:eastAsia="黑体"/>
          <w:sz w:val="28"/>
          <w:szCs w:val="28"/>
        </w:rPr>
      </w:pPr>
      <w:r>
        <w:rPr>
          <w:rFonts w:hint="eastAsia" w:ascii="黑体" w:eastAsia="黑体"/>
          <w:sz w:val="28"/>
          <w:szCs w:val="28"/>
        </w:rPr>
        <w:t>雪泥鸿爪，抓铁留印；原语朴真，青石书音。</w:t>
      </w:r>
    </w:p>
    <w:p>
      <w:pPr>
        <w:spacing w:line="600" w:lineRule="auto"/>
        <w:jc w:val="center"/>
        <w:rPr>
          <w:rFonts w:hint="eastAsia" w:ascii="黑体" w:eastAsia="黑体"/>
          <w:sz w:val="28"/>
          <w:szCs w:val="28"/>
        </w:rPr>
      </w:pPr>
      <w:r>
        <w:rPr>
          <w:rFonts w:hint="eastAsia" w:ascii="黑体" w:eastAsia="黑体"/>
          <w:sz w:val="28"/>
          <w:szCs w:val="28"/>
        </w:rPr>
        <w:t>世事维艰，明炬示警；代天息讼，卫国护民。</w:t>
      </w:r>
    </w:p>
    <w:p>
      <w:pPr>
        <w:spacing w:line="600" w:lineRule="auto"/>
        <w:jc w:val="center"/>
        <w:rPr>
          <w:rFonts w:hint="eastAsia" w:ascii="黑体" w:eastAsia="黑体"/>
          <w:sz w:val="28"/>
          <w:szCs w:val="28"/>
        </w:rPr>
      </w:pPr>
      <w:r>
        <w:rPr>
          <w:rFonts w:hint="eastAsia" w:ascii="黑体" w:eastAsia="黑体"/>
          <w:sz w:val="28"/>
          <w:szCs w:val="28"/>
        </w:rPr>
        <w:t>立信为公，敏学敦行；增荣输辉，看护举薪。</w:t>
      </w:r>
    </w:p>
    <w:p>
      <w:pPr>
        <w:spacing w:line="600" w:lineRule="auto"/>
        <w:rPr>
          <w:rFonts w:hint="eastAsia" w:ascii="黑体" w:eastAsia="黑体"/>
          <w:color w:val="993300"/>
          <w:sz w:val="28"/>
          <w:szCs w:val="28"/>
        </w:rPr>
      </w:pPr>
    </w:p>
    <w:p>
      <w:pPr>
        <w:spacing w:line="600" w:lineRule="auto"/>
        <w:jc w:val="center"/>
        <w:rPr>
          <w:rFonts w:hint="eastAsia" w:ascii="黑体" w:eastAsia="黑体"/>
          <w:color w:val="993300"/>
          <w:sz w:val="28"/>
          <w:szCs w:val="28"/>
        </w:rPr>
      </w:pPr>
      <w:r>
        <w:rPr>
          <w:rFonts w:hint="eastAsia" w:ascii="黑体" w:eastAsia="黑体"/>
          <w:color w:val="993300"/>
          <w:sz w:val="28"/>
          <w:szCs w:val="28"/>
        </w:rPr>
        <w:t>跋</w:t>
      </w:r>
    </w:p>
    <w:p>
      <w:pPr>
        <w:spacing w:line="600" w:lineRule="auto"/>
        <w:rPr>
          <w:rFonts w:hint="eastAsia" w:ascii="黑体" w:eastAsia="黑体"/>
          <w:sz w:val="28"/>
          <w:szCs w:val="28"/>
        </w:rPr>
      </w:pPr>
      <w:r>
        <w:rPr>
          <w:rFonts w:hint="eastAsia" w:ascii="黑体" w:eastAsia="黑体"/>
          <w:sz w:val="28"/>
          <w:szCs w:val="28"/>
        </w:rPr>
        <w:t>明炬即举，借光源以暖寒骨；先河已开，辟沃壤而耕田。律所广结天下才俊，卫公平，安民于厚土之上；敬法典，止息于诉讼之争。天窗启处，为良心之口；仰望星空，兼济苍生之需。结势而上。有争心，法为百姓谋富；设计顶层，择沃土，律定民贵君轻。更有云，春蚕羸弱，尚能吐丝成网；星火虽小，诚有燎原之光，况日月大炬哉！跛以贺。</w:t>
      </w:r>
    </w:p>
    <w:p>
      <w:pPr>
        <w:spacing w:line="600" w:lineRule="auto"/>
        <w:jc w:val="center"/>
        <w:rPr>
          <w:rFonts w:hint="eastAsia" w:ascii="黑体" w:eastAsia="黑体"/>
          <w:color w:val="993300"/>
          <w:sz w:val="28"/>
          <w:szCs w:val="28"/>
          <w:lang w:val="en-US" w:eastAsia="zh-CN"/>
        </w:rPr>
      </w:pPr>
      <w:r>
        <w:rPr>
          <w:rFonts w:hint="eastAsia" w:ascii="黑体" w:eastAsia="黑体"/>
          <w:color w:val="993300"/>
          <w:sz w:val="28"/>
          <w:szCs w:val="28"/>
          <w:lang w:val="en-US" w:eastAsia="zh-CN"/>
        </w:rPr>
        <w:t>诗</w:t>
      </w:r>
    </w:p>
    <w:p>
      <w:pPr>
        <w:spacing w:line="600" w:lineRule="auto"/>
        <w:jc w:val="center"/>
        <w:rPr>
          <w:rFonts w:hint="eastAsia" w:ascii="黑体" w:eastAsia="黑体"/>
          <w:sz w:val="28"/>
          <w:szCs w:val="28"/>
          <w:lang w:val="en-US" w:eastAsia="zh-CN"/>
        </w:rPr>
      </w:pPr>
      <w:r>
        <w:rPr>
          <w:rFonts w:hint="eastAsia" w:ascii="黑体" w:eastAsia="黑体"/>
          <w:sz w:val="28"/>
          <w:szCs w:val="28"/>
        </w:rPr>
        <w:t>方舟济世事，斯船即是家。公心聚四海，明炬行天下。</w:t>
      </w:r>
    </w:p>
    <w:p>
      <w:pPr>
        <w:pStyle w:val="5"/>
        <w:spacing w:line="600" w:lineRule="auto"/>
        <w:rPr>
          <w:rStyle w:val="8"/>
          <w:rFonts w:hint="eastAsia" w:ascii="微软雅黑" w:hAnsi="微软雅黑" w:eastAsia="微软雅黑" w:cs="微软雅黑"/>
          <w:sz w:val="24"/>
          <w:szCs w:val="24"/>
        </w:rPr>
      </w:pPr>
      <w:r>
        <w:rPr>
          <w:rStyle w:val="8"/>
          <w:rFonts w:hint="eastAsia" w:ascii="微软雅黑" w:hAnsi="微软雅黑" w:eastAsia="微软雅黑" w:cs="微软雅黑"/>
          <w:sz w:val="24"/>
          <w:szCs w:val="24"/>
        </w:rPr>
        <w:drawing>
          <wp:inline distT="0" distB="0" distL="0" distR="0">
            <wp:extent cx="5317490" cy="3679825"/>
            <wp:effectExtent l="0" t="0" r="1651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317490" cy="3679825"/>
                    </a:xfrm>
                    <a:prstGeom prst="rect">
                      <a:avLst/>
                    </a:prstGeom>
                    <a:noFill/>
                    <a:ln w="9525">
                      <a:noFill/>
                      <a:miter lim="800000"/>
                      <a:headEnd/>
                      <a:tailEnd/>
                    </a:ln>
                  </pic:spPr>
                </pic:pic>
              </a:graphicData>
            </a:graphic>
          </wp:inline>
        </w:drawing>
      </w:r>
    </w:p>
    <w:p>
      <w:pPr>
        <w:pStyle w:val="5"/>
        <w:spacing w:line="600" w:lineRule="auto"/>
        <w:rPr>
          <w:rStyle w:val="8"/>
          <w:rFonts w:hint="eastAsia" w:ascii="微软雅黑" w:hAnsi="微软雅黑" w:eastAsia="微软雅黑" w:cs="微软雅黑"/>
          <w:sz w:val="24"/>
          <w:szCs w:val="24"/>
        </w:rPr>
      </w:pPr>
      <w:r>
        <w:rPr>
          <w:rStyle w:val="8"/>
          <w:rFonts w:hint="eastAsia" w:ascii="微软雅黑" w:hAnsi="微软雅黑" w:eastAsia="微软雅黑" w:cs="微软雅黑"/>
          <w:sz w:val="24"/>
          <w:szCs w:val="24"/>
        </w:rPr>
        <w:t>四川明炬律师事务所</w:t>
      </w:r>
      <w:r>
        <w:rPr>
          <w:rStyle w:val="8"/>
          <w:rFonts w:hint="eastAsia" w:ascii="微软雅黑" w:hAnsi="微软雅黑" w:eastAsia="微软雅黑" w:cs="微软雅黑"/>
          <w:b w:val="0"/>
          <w:bCs w:val="0"/>
          <w:sz w:val="24"/>
          <w:szCs w:val="24"/>
        </w:rPr>
        <w:t>系四川30余家律所主任及主要合伙人为响应司法行政机关倡导，本着打造本土规模所，做精业务、做大品牌，实现人生价值和职业使命的宗旨，强强联合、重组成立的中国西部律师界的“航母”律所之一。</w:t>
      </w:r>
      <w:r>
        <w:rPr>
          <w:rStyle w:val="8"/>
          <w:rFonts w:hint="eastAsia" w:ascii="微软雅黑" w:hAnsi="微软雅黑" w:eastAsia="微软雅黑" w:cs="微软雅黑"/>
          <w:sz w:val="24"/>
          <w:szCs w:val="24"/>
        </w:rPr>
        <w:t xml:space="preserve"> </w:t>
      </w:r>
    </w:p>
    <w:p>
      <w:pPr>
        <w:pStyle w:val="5"/>
        <w:spacing w:line="600" w:lineRule="auto"/>
        <w:rPr>
          <w:rFonts w:hint="eastAsia" w:ascii="微软雅黑" w:hAnsi="微软雅黑" w:eastAsia="微软雅黑" w:cs="微软雅黑"/>
          <w:sz w:val="40"/>
          <w:szCs w:val="40"/>
          <w:lang w:eastAsia="zh-CN"/>
        </w:rPr>
      </w:pPr>
      <w:r>
        <w:rPr>
          <w:rStyle w:val="8"/>
          <w:rFonts w:hint="eastAsia" w:ascii="微软雅黑" w:hAnsi="微软雅黑" w:eastAsia="微软雅黑" w:cs="微软雅黑"/>
          <w:sz w:val="24"/>
          <w:szCs w:val="24"/>
          <w:lang w:eastAsia="zh-CN"/>
        </w:rPr>
        <w:drawing>
          <wp:inline distT="0" distB="0" distL="114300" distR="114300">
            <wp:extent cx="5361940" cy="1223010"/>
            <wp:effectExtent l="0" t="0" r="10160" b="15240"/>
            <wp:docPr id="2" name="图片 2" descr="未标题_全景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_全景图1"/>
                    <pic:cNvPicPr>
                      <a:picLocks noChangeAspect="1"/>
                    </pic:cNvPicPr>
                  </pic:nvPicPr>
                  <pic:blipFill>
                    <a:blip r:embed="rId5"/>
                    <a:stretch>
                      <a:fillRect/>
                    </a:stretch>
                  </pic:blipFill>
                  <pic:spPr>
                    <a:xfrm>
                      <a:off x="0" y="0"/>
                      <a:ext cx="5361940" cy="1223010"/>
                    </a:xfrm>
                    <a:prstGeom prst="rect">
                      <a:avLst/>
                    </a:prstGeom>
                  </pic:spPr>
                </pic:pic>
              </a:graphicData>
            </a:graphic>
          </wp:inline>
        </w:drawing>
      </w:r>
    </w:p>
    <w:p>
      <w:pPr>
        <w:pStyle w:val="5"/>
        <w:spacing w:line="600" w:lineRule="auto"/>
        <w:rPr>
          <w:rFonts w:hint="eastAsia" w:ascii="微软雅黑" w:hAnsi="微软雅黑" w:eastAsia="微软雅黑" w:cs="微软雅黑"/>
          <w:sz w:val="40"/>
          <w:szCs w:val="40"/>
        </w:rPr>
      </w:pPr>
      <w:r>
        <w:rPr>
          <w:rStyle w:val="8"/>
          <w:rFonts w:hint="eastAsia" w:ascii="微软雅黑" w:hAnsi="微软雅黑" w:eastAsia="微软雅黑" w:cs="微软雅黑"/>
          <w:sz w:val="24"/>
          <w:szCs w:val="24"/>
        </w:rPr>
        <w:t>四川明炬律师事务所</w:t>
      </w:r>
      <w:r>
        <w:rPr>
          <w:rFonts w:hint="eastAsia" w:ascii="微软雅黑" w:hAnsi="微软雅黑" w:eastAsia="微软雅黑" w:cs="微软雅黑"/>
          <w:sz w:val="24"/>
          <w:szCs w:val="24"/>
        </w:rPr>
        <w:t>总部坐落在世界最大的单体建筑——</w:t>
      </w:r>
      <w:r>
        <w:rPr>
          <w:rStyle w:val="8"/>
          <w:rFonts w:hint="eastAsia" w:ascii="微软雅黑" w:hAnsi="微软雅黑" w:eastAsia="微软雅黑" w:cs="微软雅黑"/>
          <w:sz w:val="24"/>
          <w:szCs w:val="24"/>
        </w:rPr>
        <w:t>成都新世纪环球中心</w:t>
      </w:r>
      <w:r>
        <w:rPr>
          <w:rFonts w:hint="eastAsia" w:ascii="微软雅黑" w:hAnsi="微软雅黑" w:eastAsia="微软雅黑" w:cs="微软雅黑"/>
          <w:sz w:val="24"/>
          <w:szCs w:val="24"/>
        </w:rPr>
        <w:t>，拥有近5000平米的超大豪华办公场所。为充分培训和挖掘律师人才，明炬还专门设立了可同时可容纳200余人的明炬大讲堂和模拟法庭，这两个特色功能区的软硬件建设在川内当属首屈一指。</w:t>
      </w:r>
      <w:r>
        <w:rPr>
          <w:rFonts w:hint="eastAsia" w:ascii="微软雅黑" w:hAnsi="微软雅黑" w:eastAsia="微软雅黑" w:cs="微软雅黑"/>
          <w:sz w:val="40"/>
          <w:szCs w:val="40"/>
        </w:rPr>
        <w:t xml:space="preserve"> </w:t>
      </w:r>
    </w:p>
    <w:p>
      <w:pPr>
        <w:pStyle w:val="5"/>
        <w:spacing w:line="600" w:lineRule="auto"/>
        <w:rPr>
          <w:rFonts w:hint="eastAsia" w:ascii="微软雅黑" w:hAnsi="微软雅黑" w:eastAsia="微软雅黑" w:cs="微软雅黑"/>
          <w:sz w:val="40"/>
          <w:szCs w:val="40"/>
          <w:lang w:eastAsia="zh-CN"/>
        </w:rPr>
      </w:pPr>
      <w:r>
        <w:rPr>
          <w:rFonts w:hint="eastAsia" w:ascii="微软雅黑" w:hAnsi="微软雅黑" w:eastAsia="微软雅黑" w:cs="微软雅黑"/>
          <w:sz w:val="40"/>
          <w:szCs w:val="40"/>
          <w:lang w:eastAsia="zh-CN"/>
        </w:rPr>
        <w:drawing>
          <wp:inline distT="0" distB="0" distL="114300" distR="114300">
            <wp:extent cx="5109210" cy="3406140"/>
            <wp:effectExtent l="0" t="0" r="15240" b="3810"/>
            <wp:docPr id="9" name="图片 9" descr="明炬大讲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明炬大讲堂"/>
                    <pic:cNvPicPr>
                      <a:picLocks noChangeAspect="1"/>
                    </pic:cNvPicPr>
                  </pic:nvPicPr>
                  <pic:blipFill>
                    <a:blip r:embed="rId6"/>
                    <a:stretch>
                      <a:fillRect/>
                    </a:stretch>
                  </pic:blipFill>
                  <pic:spPr>
                    <a:xfrm>
                      <a:off x="0" y="0"/>
                      <a:ext cx="5109210" cy="3406140"/>
                    </a:xfrm>
                    <a:prstGeom prst="rect">
                      <a:avLst/>
                    </a:prstGeom>
                  </pic:spPr>
                </pic:pic>
              </a:graphicData>
            </a:graphic>
          </wp:inline>
        </w:drawing>
      </w:r>
      <w:r>
        <w:rPr>
          <w:rFonts w:hint="eastAsia" w:ascii="微软雅黑" w:hAnsi="微软雅黑" w:eastAsia="微软雅黑" w:cs="微软雅黑"/>
          <w:sz w:val="40"/>
          <w:szCs w:val="40"/>
          <w:lang w:eastAsia="zh-CN"/>
        </w:rPr>
        <w:drawing>
          <wp:inline distT="0" distB="0" distL="114300" distR="114300">
            <wp:extent cx="5123180" cy="3842385"/>
            <wp:effectExtent l="0" t="0" r="1270" b="5715"/>
            <wp:docPr id="8" name="图片 8" descr="模拟法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模拟法庭"/>
                    <pic:cNvPicPr>
                      <a:picLocks noChangeAspect="1"/>
                    </pic:cNvPicPr>
                  </pic:nvPicPr>
                  <pic:blipFill>
                    <a:blip r:embed="rId7"/>
                    <a:stretch>
                      <a:fillRect/>
                    </a:stretch>
                  </pic:blipFill>
                  <pic:spPr>
                    <a:xfrm>
                      <a:off x="0" y="0"/>
                      <a:ext cx="5123180" cy="3842385"/>
                    </a:xfrm>
                    <a:prstGeom prst="rect">
                      <a:avLst/>
                    </a:prstGeom>
                  </pic:spPr>
                </pic:pic>
              </a:graphicData>
            </a:graphic>
          </wp:inline>
        </w:drawing>
      </w:r>
    </w:p>
    <w:p>
      <w:pPr>
        <w:pStyle w:val="5"/>
        <w:spacing w:line="600" w:lineRule="auto"/>
        <w:rPr>
          <w:rStyle w:val="8"/>
          <w:rFonts w:hint="eastAsia" w:ascii="微软雅黑" w:hAnsi="微软雅黑" w:eastAsia="微软雅黑" w:cs="微软雅黑"/>
          <w:sz w:val="24"/>
          <w:szCs w:val="24"/>
        </w:rPr>
      </w:pPr>
      <w:r>
        <w:rPr>
          <w:rFonts w:hint="eastAsia" w:ascii="微软雅黑" w:hAnsi="微软雅黑" w:eastAsia="微软雅黑" w:cs="微软雅黑"/>
          <w:sz w:val="24"/>
          <w:szCs w:val="24"/>
        </w:rPr>
        <w:t>发展至今， 明炬以海纳百川的胸襟，凝聚了众多的行业精英。截止20</w:t>
      </w:r>
      <w:r>
        <w:rPr>
          <w:rFonts w:hint="eastAsia" w:ascii="微软雅黑" w:hAnsi="微软雅黑" w:eastAsia="微软雅黑" w:cs="微软雅黑"/>
          <w:sz w:val="24"/>
          <w:szCs w:val="24"/>
          <w:lang w:val="en-US" w:eastAsia="zh-CN"/>
        </w:rPr>
        <w:t>20</w:t>
      </w:r>
      <w:r>
        <w:rPr>
          <w:rFonts w:hint="eastAsia" w:ascii="微软雅黑" w:hAnsi="微软雅黑" w:eastAsia="微软雅黑" w:cs="微软雅黑"/>
          <w:sz w:val="24"/>
          <w:szCs w:val="24"/>
        </w:rPr>
        <w:t>年</w:t>
      </w: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月，明炬已吸纳了</w:t>
      </w:r>
      <w:r>
        <w:rPr>
          <w:rFonts w:hint="eastAsia" w:ascii="微软雅黑" w:hAnsi="微软雅黑" w:eastAsia="微软雅黑" w:cs="微软雅黑"/>
          <w:sz w:val="24"/>
          <w:szCs w:val="24"/>
          <w:lang w:val="en-US" w:eastAsia="zh-CN"/>
        </w:rPr>
        <w:t>90名</w:t>
      </w:r>
      <w:r>
        <w:rPr>
          <w:rFonts w:hint="eastAsia" w:ascii="微软雅黑" w:hAnsi="微软雅黑" w:eastAsia="微软雅黑" w:cs="微软雅黑"/>
          <w:sz w:val="24"/>
          <w:szCs w:val="24"/>
        </w:rPr>
        <w:t>合伙人，同时拥有</w:t>
      </w:r>
      <w:bookmarkStart w:id="0" w:name="_GoBack"/>
      <w:bookmarkEnd w:id="0"/>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00多名有丰富执业经验的杰出律师，为超过2000家单位担任法律顾问。他们不仅有高校、科研机构法学专家、 学者型律师，也有从事过政府、司法机关等工作经历的实战派律师，并拥有众多四川省人民政府法律顾问、省政府行政复议委员会委员、省公安厅特邀法律专家、省检察院十佳公诉人评选活动专家评审委员会委员、省高级法院特邀调解员、市人大常委会立法咨询专家等优秀人才。 为进一步发挥律师联盟的人才优势、人脉优势、办案优势，明炬成立了刑事业务、国际业务、公司业务等十三个专业业务部以及刑事辩护中心、公共业务中心、 法律援助中心三个特色部门。开放的律所文化，不拘一格、因才施用的人才策略，灵活多样的人才培养机制，为律所打造出一支蓬勃向上的专业化、职业化和国际化队伍，赢得了众多客户的高度</w:t>
      </w:r>
      <w:r>
        <w:rPr>
          <w:rStyle w:val="8"/>
          <w:rFonts w:hint="eastAsia" w:ascii="微软雅黑" w:hAnsi="微软雅黑" w:eastAsia="微软雅黑" w:cs="微软雅黑"/>
          <w:b w:val="0"/>
          <w:bCs w:val="0"/>
          <w:sz w:val="24"/>
          <w:szCs w:val="24"/>
        </w:rPr>
        <w:t>赞</w:t>
      </w:r>
      <w:r>
        <w:rPr>
          <w:rStyle w:val="8"/>
          <w:rFonts w:hint="eastAsia" w:ascii="微软雅黑" w:hAnsi="微软雅黑" w:eastAsia="微软雅黑" w:cs="微软雅黑"/>
          <w:sz w:val="24"/>
          <w:szCs w:val="24"/>
        </w:rPr>
        <w:t xml:space="preserve">誉。 </w:t>
      </w:r>
    </w:p>
    <w:p>
      <w:pPr>
        <w:pStyle w:val="5"/>
        <w:spacing w:line="600" w:lineRule="auto"/>
        <w:rPr>
          <w:rFonts w:hint="eastAsia" w:ascii="微软雅黑" w:hAnsi="微软雅黑" w:eastAsia="微软雅黑" w:cs="微软雅黑"/>
          <w:sz w:val="40"/>
          <w:szCs w:val="40"/>
          <w:lang w:eastAsia="zh-CN"/>
        </w:rPr>
      </w:pPr>
      <w:r>
        <w:rPr>
          <w:rStyle w:val="8"/>
          <w:rFonts w:hint="eastAsia" w:ascii="微软雅黑" w:hAnsi="微软雅黑" w:eastAsia="微软雅黑" w:cs="微软雅黑"/>
          <w:sz w:val="24"/>
          <w:szCs w:val="24"/>
          <w:lang w:eastAsia="zh-CN"/>
        </w:rPr>
        <w:drawing>
          <wp:inline distT="0" distB="0" distL="114300" distR="114300">
            <wp:extent cx="5490845" cy="1219835"/>
            <wp:effectExtent l="0" t="0" r="14605" b="18415"/>
            <wp:docPr id="4" name="图片 4" descr="Panorama 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norama 1副本"/>
                    <pic:cNvPicPr>
                      <a:picLocks noChangeAspect="1"/>
                    </pic:cNvPicPr>
                  </pic:nvPicPr>
                  <pic:blipFill>
                    <a:blip r:embed="rId8"/>
                    <a:stretch>
                      <a:fillRect/>
                    </a:stretch>
                  </pic:blipFill>
                  <pic:spPr>
                    <a:xfrm>
                      <a:off x="0" y="0"/>
                      <a:ext cx="5490845" cy="1219835"/>
                    </a:xfrm>
                    <a:prstGeom prst="rect">
                      <a:avLst/>
                    </a:prstGeom>
                  </pic:spPr>
                </pic:pic>
              </a:graphicData>
            </a:graphic>
          </wp:inline>
        </w:drawing>
      </w:r>
    </w:p>
    <w:p>
      <w:pPr>
        <w:shd w:val="clear" w:color="auto" w:fill="FFFFFF"/>
        <w:spacing w:line="600" w:lineRule="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明炬已在宜宾、攀枝花、凉山、</w:t>
      </w:r>
      <w:r>
        <w:rPr>
          <w:rFonts w:hint="eastAsia" w:ascii="微软雅黑" w:hAnsi="微软雅黑" w:eastAsia="微软雅黑" w:cs="微软雅黑"/>
          <w:kern w:val="0"/>
          <w:sz w:val="24"/>
          <w:szCs w:val="24"/>
          <w:lang w:val="en-US" w:eastAsia="zh-CN"/>
        </w:rPr>
        <w:t>什邡</w:t>
      </w:r>
      <w:r>
        <w:rPr>
          <w:rFonts w:hint="eastAsia" w:ascii="微软雅黑" w:hAnsi="微软雅黑" w:eastAsia="微软雅黑" w:cs="微软雅黑"/>
          <w:kern w:val="0"/>
          <w:sz w:val="24"/>
          <w:szCs w:val="24"/>
        </w:rPr>
        <w:t>、乐山、泸州、阿坝、</w:t>
      </w:r>
      <w:r>
        <w:rPr>
          <w:rFonts w:hint="eastAsia" w:ascii="微软雅黑" w:hAnsi="微软雅黑" w:eastAsia="微软雅黑" w:cs="微软雅黑"/>
          <w:kern w:val="0"/>
          <w:sz w:val="24"/>
          <w:szCs w:val="24"/>
          <w:lang w:val="en-US" w:eastAsia="zh-CN"/>
        </w:rPr>
        <w:t>遂宁、雅安、龙泉驿、</w:t>
      </w:r>
      <w:r>
        <w:rPr>
          <w:rFonts w:hint="eastAsia" w:ascii="微软雅黑" w:hAnsi="微软雅黑" w:eastAsia="微软雅黑" w:cs="微软雅黑"/>
          <w:kern w:val="0"/>
          <w:sz w:val="24"/>
          <w:szCs w:val="24"/>
        </w:rPr>
        <w:t>巴中</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内江、甘孜、都江堰、资阳、南充、自贡、达州、</w:t>
      </w:r>
      <w:r>
        <w:rPr>
          <w:rFonts w:hint="eastAsia" w:ascii="微软雅黑" w:hAnsi="微软雅黑" w:eastAsia="微软雅黑" w:cs="微软雅黑"/>
          <w:kern w:val="0"/>
          <w:sz w:val="24"/>
          <w:szCs w:val="24"/>
        </w:rPr>
        <w:t>拉萨</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lang w:val="en-US" w:eastAsia="zh-CN"/>
        </w:rPr>
        <w:t>上海</w:t>
      </w:r>
      <w:r>
        <w:rPr>
          <w:rFonts w:hint="eastAsia" w:ascii="微软雅黑" w:hAnsi="微软雅黑" w:eastAsia="微软雅黑" w:cs="微软雅黑"/>
          <w:kern w:val="0"/>
          <w:sz w:val="24"/>
          <w:szCs w:val="24"/>
        </w:rPr>
        <w:t>等地设立了</w:t>
      </w:r>
      <w:r>
        <w:rPr>
          <w:rFonts w:hint="eastAsia" w:ascii="微软雅黑" w:hAnsi="微软雅黑" w:eastAsia="微软雅黑" w:cs="微软雅黑"/>
          <w:kern w:val="0"/>
          <w:sz w:val="24"/>
          <w:szCs w:val="24"/>
          <w:lang w:val="en-US" w:eastAsia="zh-CN"/>
        </w:rPr>
        <w:t>20</w:t>
      </w:r>
      <w:r>
        <w:rPr>
          <w:rFonts w:hint="eastAsia" w:ascii="微软雅黑" w:hAnsi="微软雅黑" w:eastAsia="微软雅黑" w:cs="微软雅黑"/>
          <w:kern w:val="0"/>
          <w:sz w:val="24"/>
          <w:szCs w:val="24"/>
        </w:rPr>
        <w:t>家分所，并计划在三年内使分所数量突破30家，实现西南法律服务全覆盖。</w:t>
      </w:r>
    </w:p>
    <w:p>
      <w:pPr>
        <w:shd w:val="clear" w:color="auto" w:fill="FFFFFF"/>
        <w:spacing w:line="600" w:lineRule="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lang w:eastAsia="zh-CN"/>
        </w:rPr>
        <w:drawing>
          <wp:inline distT="0" distB="0" distL="114300" distR="114300">
            <wp:extent cx="5268595" cy="3512185"/>
            <wp:effectExtent l="0" t="0" r="8255" b="12065"/>
            <wp:docPr id="6" name="图片 6" descr="律师休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律师休息区"/>
                    <pic:cNvPicPr>
                      <a:picLocks noChangeAspect="1"/>
                    </pic:cNvPicPr>
                  </pic:nvPicPr>
                  <pic:blipFill>
                    <a:blip r:embed="rId9"/>
                    <a:stretch>
                      <a:fillRect/>
                    </a:stretch>
                  </pic:blipFill>
                  <pic:spPr>
                    <a:xfrm>
                      <a:off x="0" y="0"/>
                      <a:ext cx="5268595" cy="3512185"/>
                    </a:xfrm>
                    <a:prstGeom prst="rect">
                      <a:avLst/>
                    </a:prstGeom>
                  </pic:spPr>
                </pic:pic>
              </a:graphicData>
            </a:graphic>
          </wp:inline>
        </w:drawing>
      </w:r>
    </w:p>
    <w:p>
      <w:pPr>
        <w:shd w:val="clear" w:color="auto" w:fill="FFFFFF"/>
        <w:spacing w:line="600" w:lineRule="auto"/>
        <w:rPr>
          <w:rFonts w:hint="eastAsia" w:ascii="微软雅黑" w:hAnsi="微软雅黑" w:eastAsia="微软雅黑" w:cs="微软雅黑"/>
          <w:kern w:val="0"/>
          <w:sz w:val="24"/>
          <w:szCs w:val="24"/>
          <w:lang w:val="en-US" w:eastAsia="zh-CN"/>
        </w:rPr>
      </w:pPr>
    </w:p>
    <w:p>
      <w:pPr>
        <w:shd w:val="clear" w:color="auto" w:fill="FFFFFF"/>
        <w:spacing w:line="600" w:lineRule="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事务所荣誉（部分）：</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z w:val="24"/>
          <w:szCs w:val="24"/>
        </w:rPr>
        <w:t>2015年</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2019年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明炬连续五年被</w:t>
      </w:r>
      <w:r>
        <w:rPr>
          <w:rFonts w:hint="eastAsia" w:ascii="微软雅黑" w:hAnsi="微软雅黑" w:eastAsia="微软雅黑" w:cs="微软雅黑"/>
          <w:sz w:val="24"/>
          <w:szCs w:val="24"/>
        </w:rPr>
        <w:t>亚洲法律杂志评选为“201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年度ALB中国30大律师事务所”和“201</w:t>
      </w: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年度ALB亚洲50大律师事务所”</w:t>
      </w:r>
      <w:r>
        <w:rPr>
          <w:rFonts w:hint="eastAsia" w:ascii="微软雅黑" w:hAnsi="微软雅黑" w:eastAsia="微软雅黑" w:cs="微软雅黑"/>
          <w:sz w:val="24"/>
          <w:szCs w:val="24"/>
          <w:lang w:eastAsia="zh-CN"/>
        </w:rPr>
        <w:t>。</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明炬荣获《998法治大讲堂》节目特别奖。</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四川明炬(遂宁)律师事务所被评为2014-2016年度遂宁市优秀律师事务所。</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明炬律师事务所与广元市中级人民法院联合完成四川省法学会刑法学研究会2017年重点课题，提交的两篇调研论文中，《集资诈骗罪主观故意认定的持续性评价研究》一文获得四川省法学会刑法学研究会2017年优秀论文评选一等奖，《规范吊诡与实践急转：醉酒型危险驾驶罪量刑轻缓化实证研究》一文获得四川省法学会刑法学研究会2017年优秀论文评选二等奖。</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四川明炬律师事务所荣获2015-2017年度“四川省优秀律师事务所”称号。</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明炬所荣获“成都市金牛区优秀法律援助律师事务所”称号。</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明炬总所、明炬雅安分所党组织荣获四川省律师行业先进党组织称号。</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明炬获评“促进民营企业建立现代企业制度先进专家机构”。</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明炬荣获2016中国首届律界公益榜“最佳公益创新奖”。</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明炬担任成都市工业园区发展促进会理事单位，荣获成都市中小企业促进会“最佳战略合作伙伴”。</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明炬荣获“成都市律协先进基层党组织”。</w:t>
      </w:r>
    </w:p>
    <w:p>
      <w:pPr>
        <w:pStyle w:val="5"/>
        <w:numPr>
          <w:ilvl w:val="0"/>
          <w:numId w:val="1"/>
        </w:numPr>
        <w:spacing w:line="600" w:lineRule="auto"/>
        <w:ind w:left="420" w:leftChars="0" w:hanging="420" w:firstLineChars="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明炬党支部被授予“十个标准化”建设示范党支部。</w:t>
      </w:r>
    </w:p>
    <w:p>
      <w:pPr>
        <w:pStyle w:val="5"/>
        <w:spacing w:line="60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kern w:val="0"/>
          <w:sz w:val="24"/>
          <w:szCs w:val="24"/>
          <w:lang w:eastAsia="zh-CN"/>
        </w:rPr>
        <w:drawing>
          <wp:inline distT="0" distB="0" distL="114300" distR="114300">
            <wp:extent cx="5267325" cy="3512185"/>
            <wp:effectExtent l="0" t="0" r="9525" b="12065"/>
            <wp:docPr id="5" name="图片 5" descr="荣誉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荣誉墙"/>
                    <pic:cNvPicPr>
                      <a:picLocks noChangeAspect="1"/>
                    </pic:cNvPicPr>
                  </pic:nvPicPr>
                  <pic:blipFill>
                    <a:blip r:embed="rId10"/>
                    <a:stretch>
                      <a:fillRect/>
                    </a:stretch>
                  </pic:blipFill>
                  <pic:spPr>
                    <a:xfrm>
                      <a:off x="0" y="0"/>
                      <a:ext cx="5267325" cy="3512185"/>
                    </a:xfrm>
                    <a:prstGeom prst="rect">
                      <a:avLst/>
                    </a:prstGeom>
                  </pic:spPr>
                </pic:pic>
              </a:graphicData>
            </a:graphic>
          </wp:inline>
        </w:drawing>
      </w:r>
    </w:p>
    <w:p>
      <w:pPr>
        <w:pStyle w:val="5"/>
        <w:spacing w:line="600" w:lineRule="auto"/>
        <w:rPr>
          <w:rFonts w:hint="eastAsia" w:ascii="微软雅黑" w:hAnsi="微软雅黑" w:eastAsia="微软雅黑" w:cs="微软雅黑"/>
          <w:sz w:val="40"/>
          <w:szCs w:val="40"/>
        </w:rPr>
      </w:pPr>
      <w:r>
        <w:rPr>
          <w:rFonts w:hint="eastAsia" w:ascii="微软雅黑" w:hAnsi="微软雅黑" w:eastAsia="微软雅黑" w:cs="微软雅黑"/>
          <w:sz w:val="24"/>
          <w:szCs w:val="24"/>
        </w:rPr>
        <w:t>明炬极具人力资源、人脉资源、办案经验、客户潜力、协调能力、社会认同感等优势。管理者团队、生产者团队、后台支持者团队通力合作，共同对律所发展和未来负责，在各个领域为国内外客户提供优质、高效的法律服务。</w:t>
      </w:r>
      <w:r>
        <w:rPr>
          <w:rFonts w:hint="eastAsia" w:ascii="微软雅黑" w:hAnsi="微软雅黑" w:eastAsia="微软雅黑" w:cs="微软雅黑"/>
          <w:sz w:val="40"/>
          <w:szCs w:val="40"/>
        </w:rPr>
        <w:t xml:space="preserve"> </w:t>
      </w:r>
    </w:p>
    <w:p>
      <w:pPr>
        <w:spacing w:line="600" w:lineRule="auto"/>
        <w:rPr>
          <w:rFonts w:hint="eastAsia" w:ascii="微软雅黑" w:hAnsi="微软雅黑" w:eastAsia="微软雅黑" w:cs="微软雅黑"/>
          <w:lang w:eastAsia="zh-CN"/>
        </w:rPr>
      </w:pPr>
      <w:r>
        <w:rPr>
          <w:rFonts w:hint="eastAsia" w:ascii="微软雅黑" w:hAnsi="微软雅黑" w:eastAsia="微软雅黑" w:cs="微软雅黑"/>
          <w:sz w:val="21"/>
          <w:szCs w:val="22"/>
          <w:lang w:eastAsia="zh-CN"/>
        </w:rPr>
        <w:drawing>
          <wp:inline distT="0" distB="0" distL="114300" distR="114300">
            <wp:extent cx="5385435" cy="3180715"/>
            <wp:effectExtent l="0" t="0" r="5715" b="635"/>
            <wp:docPr id="7" name="图片 7" descr="VIP接待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IP接待室"/>
                    <pic:cNvPicPr>
                      <a:picLocks noChangeAspect="1"/>
                    </pic:cNvPicPr>
                  </pic:nvPicPr>
                  <pic:blipFill>
                    <a:blip r:embed="rId11"/>
                    <a:stretch>
                      <a:fillRect/>
                    </a:stretch>
                  </pic:blipFill>
                  <pic:spPr>
                    <a:xfrm>
                      <a:off x="0" y="0"/>
                      <a:ext cx="5385435" cy="31807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2385D1"/>
    <w:multiLevelType w:val="singleLevel"/>
    <w:tmpl w:val="C32385D1"/>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9783A"/>
    <w:rsid w:val="0019783A"/>
    <w:rsid w:val="001B54A9"/>
    <w:rsid w:val="00354B45"/>
    <w:rsid w:val="00823CE5"/>
    <w:rsid w:val="00EA40FE"/>
    <w:rsid w:val="013E6566"/>
    <w:rsid w:val="02556C0F"/>
    <w:rsid w:val="05A3653E"/>
    <w:rsid w:val="08D56567"/>
    <w:rsid w:val="10413DB7"/>
    <w:rsid w:val="16127E6E"/>
    <w:rsid w:val="1DAC3588"/>
    <w:rsid w:val="23DA6F3D"/>
    <w:rsid w:val="24975ECB"/>
    <w:rsid w:val="27D4673A"/>
    <w:rsid w:val="28DC233C"/>
    <w:rsid w:val="2C080DF6"/>
    <w:rsid w:val="31654D7F"/>
    <w:rsid w:val="334B703C"/>
    <w:rsid w:val="34A61682"/>
    <w:rsid w:val="39B8037F"/>
    <w:rsid w:val="3C605242"/>
    <w:rsid w:val="40F533C9"/>
    <w:rsid w:val="43225263"/>
    <w:rsid w:val="433B6815"/>
    <w:rsid w:val="44A848DB"/>
    <w:rsid w:val="48406844"/>
    <w:rsid w:val="5003575C"/>
    <w:rsid w:val="6390310D"/>
    <w:rsid w:val="683B109C"/>
    <w:rsid w:val="73DE09E7"/>
    <w:rsid w:val="763E170D"/>
    <w:rsid w:val="77250175"/>
    <w:rsid w:val="78BF15DE"/>
    <w:rsid w:val="799502F2"/>
    <w:rsid w:val="7AEE3DB4"/>
    <w:rsid w:val="7C7C4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135</Words>
  <Characters>771</Characters>
  <Lines>6</Lines>
  <Paragraphs>1</Paragraphs>
  <TotalTime>2</TotalTime>
  <ScaleCrop>false</ScaleCrop>
  <LinksUpToDate>false</LinksUpToDate>
  <CharactersWithSpaces>905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2015-10-09T01:20:00Z</dcterms:created>
  <dc:creator>Lenovo</dc:creator>
  <cp:lastModifiedBy>LOVE</cp:lastModifiedBy>
  <dcterms:modified xsi:type="dcterms:W3CDTF">2020-06-10T05:51:47Z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